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b/>
          <w:color w:val="auto"/>
          <w:sz w:val="44"/>
          <w:szCs w:val="44"/>
          <w:highlight w:val="none"/>
          <w:lang w:eastAsia="zh-CN"/>
        </w:rPr>
      </w:pPr>
      <w:r>
        <w:rPr>
          <w:rFonts w:hint="eastAsia" w:ascii="宋体" w:hAnsi="宋体" w:eastAsia="宋体"/>
          <w:b/>
          <w:color w:val="auto"/>
          <w:sz w:val="44"/>
          <w:szCs w:val="44"/>
          <w:highlight w:val="none"/>
        </w:rPr>
        <w:t>民生银行拉萨分行金融服务</w:t>
      </w:r>
      <w:r>
        <w:rPr>
          <w:rFonts w:hint="eastAsia" w:ascii="宋体" w:hAnsi="宋体"/>
          <w:b/>
          <w:color w:val="auto"/>
          <w:sz w:val="44"/>
          <w:szCs w:val="44"/>
          <w:highlight w:val="none"/>
          <w:lang w:eastAsia="zh-CN"/>
        </w:rPr>
        <w:t>对外</w:t>
      </w:r>
      <w:r>
        <w:rPr>
          <w:rFonts w:hint="eastAsia" w:ascii="宋体" w:hAnsi="宋体" w:eastAsia="宋体"/>
          <w:b/>
          <w:color w:val="auto"/>
          <w:sz w:val="44"/>
          <w:szCs w:val="44"/>
          <w:highlight w:val="none"/>
          <w:lang w:eastAsia="zh-CN"/>
        </w:rPr>
        <w:t>公示</w:t>
      </w:r>
      <w:r>
        <w:rPr>
          <w:rFonts w:hint="eastAsia" w:ascii="宋体" w:hAnsi="宋体"/>
          <w:b/>
          <w:color w:val="auto"/>
          <w:sz w:val="44"/>
          <w:szCs w:val="44"/>
          <w:highlight w:val="none"/>
          <w:lang w:eastAsia="zh-CN"/>
        </w:rPr>
        <w:t>信息</w:t>
      </w:r>
    </w:p>
    <w:p>
      <w:pPr>
        <w:rPr>
          <w:rFonts w:hint="eastAsia" w:ascii="仿宋_GB2312" w:hAnsi="仿宋" w:eastAsia="仿宋_GB2312"/>
          <w:color w:val="auto"/>
          <w:sz w:val="32"/>
          <w:szCs w:val="32"/>
          <w:highlight w:val="none"/>
          <w:lang w:val="en-US" w:eastAsia="zh-CN"/>
        </w:rPr>
      </w:pPr>
    </w:p>
    <w:p>
      <w:pPr>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为更好保护辖区金融消费者合法权益，现对我行重点金融服务的业务流程、收费情况等内容公示如下：</w:t>
      </w:r>
    </w:p>
    <w:p>
      <w:pPr>
        <w:ind w:firstLine="640" w:firstLineChars="200"/>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投诉处理</w:t>
      </w:r>
    </w:p>
    <w:p>
      <w:pPr>
        <w:ind w:firstLine="160" w:firstLineChars="5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lang w:val="en-US" w:eastAsia="zh-CN"/>
        </w:rPr>
        <w:t xml:space="preserve">  </w:t>
      </w:r>
      <w:r>
        <w:rPr>
          <w:rFonts w:hint="eastAsia" w:ascii="仿宋_GB2312" w:hAnsi="仿宋" w:eastAsia="仿宋_GB2312"/>
          <w:color w:val="auto"/>
          <w:sz w:val="32"/>
          <w:szCs w:val="32"/>
          <w:highlight w:val="none"/>
        </w:rPr>
        <w:t>1、金融消费权益保护咨询热线：12363</w:t>
      </w:r>
    </w:p>
    <w:p>
      <w:pPr>
        <w:ind w:firstLine="160" w:firstLineChars="5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lang w:val="en-US" w:eastAsia="zh-CN"/>
        </w:rPr>
        <w:t xml:space="preserve">  </w:t>
      </w:r>
      <w:r>
        <w:rPr>
          <w:rFonts w:hint="eastAsia" w:ascii="仿宋_GB2312" w:hAnsi="仿宋" w:eastAsia="仿宋_GB2312"/>
          <w:color w:val="auto"/>
          <w:sz w:val="32"/>
          <w:szCs w:val="32"/>
          <w:highlight w:val="none"/>
        </w:rPr>
        <w:t>2、反假币投诉电话：0891-6853087</w:t>
      </w:r>
    </w:p>
    <w:p>
      <w:pPr>
        <w:ind w:firstLine="160" w:firstLineChars="5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lang w:val="en-US" w:eastAsia="zh-CN"/>
        </w:rPr>
        <w:t xml:space="preserve">  </w:t>
      </w:r>
      <w:r>
        <w:rPr>
          <w:rFonts w:hint="eastAsia" w:ascii="仿宋_GB2312" w:hAnsi="仿宋" w:eastAsia="仿宋_GB2312"/>
          <w:color w:val="auto"/>
          <w:sz w:val="32"/>
          <w:szCs w:val="32"/>
          <w:highlight w:val="none"/>
        </w:rPr>
        <w:t>3、本行服务热线：95568</w:t>
      </w:r>
    </w:p>
    <w:p>
      <w:pPr>
        <w:numPr>
          <w:numId w:val="0"/>
        </w:numP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 xml:space="preserve">    4、</w:t>
      </w:r>
      <w:r>
        <w:rPr>
          <w:rFonts w:hint="eastAsia" w:ascii="仿宋_GB2312" w:hAnsi="仿宋" w:eastAsia="仿宋_GB2312"/>
          <w:color w:val="auto"/>
          <w:sz w:val="32"/>
          <w:szCs w:val="32"/>
          <w:highlight w:val="none"/>
        </w:rPr>
        <w:t>本行投诉处理流程</w:t>
      </w:r>
      <w:r>
        <w:rPr>
          <w:rFonts w:hint="eastAsia" w:ascii="仿宋_GB2312" w:hAnsi="仿宋" w:eastAsia="仿宋_GB2312"/>
          <w:color w:val="auto"/>
          <w:sz w:val="32"/>
          <w:szCs w:val="32"/>
          <w:highlight w:val="none"/>
          <w:lang w:val="en-US" w:eastAsia="zh-CN"/>
        </w:rPr>
        <w:t>:</w:t>
      </w:r>
    </w:p>
    <w:p>
      <w:pPr>
        <w:numPr>
          <w:numId w:val="0"/>
        </w:numPr>
        <w:jc w:val="center"/>
        <w:rPr>
          <w:rFonts w:hint="eastAsia" w:ascii="仿宋_GB2312" w:hAnsi="仿宋" w:eastAsia="仿宋_GB2312"/>
          <w:color w:val="auto"/>
          <w:sz w:val="32"/>
          <w:szCs w:val="32"/>
          <w:highlight w:val="none"/>
        </w:rPr>
      </w:pPr>
      <w:r>
        <w:rPr>
          <w:rFonts w:hint="eastAsia" w:ascii="仿宋_GB2312" w:hAnsi="仿宋" w:eastAsia="仿宋_GB2312" w:cs="黑体"/>
          <w:color w:val="auto"/>
          <w:kern w:val="2"/>
          <w:sz w:val="32"/>
          <w:szCs w:val="32"/>
          <w:highlight w:val="none"/>
          <w:lang w:val="en-US" w:eastAsia="zh-CN" w:bidi="ar-SA"/>
        </w:rPr>
        <w:pict>
          <v:shape id="图片 1" o:spid="_x0000_s1026" type="#_x0000_t75" style="height:291.85pt;width:292.05pt;rotation:0f;" o:ole="f" fillcolor="#FFFFFF" filled="f" o:preferrelative="t" stroked="f" coordorigin="0,0" coordsize="21600,21600">
            <v:fill on="f" color2="#FFFFFF" focus="0%"/>
            <v:imagedata gain="65536f" blacklevel="0f" gamma="0" o:title="附件1：中国民生银行客户投诉处理基本流程 - 副本" r:id="rId5"/>
            <o:lock v:ext="edit" position="f" selection="f" grouping="f" rotation="f" cropping="f" text="f" aspectratio="t"/>
            <w10:wrap type="none"/>
            <w10:anchorlock/>
          </v:shape>
        </w:pic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 xml:space="preserve">  </w:t>
      </w:r>
      <w:r>
        <w:rPr>
          <w:rFonts w:hint="eastAsia" w:ascii="仿宋_GB2312" w:hAnsi="仿宋" w:eastAsia="仿宋_GB2312"/>
          <w:color w:val="auto"/>
          <w:sz w:val="32"/>
          <w:szCs w:val="32"/>
          <w:highlight w:val="none"/>
        </w:rPr>
        <w:t>5、本行投诉处理时限：一般投诉处理的时限为3个工作日，紧急投诉的处理时限为2个工作日。</w:t>
      </w:r>
    </w:p>
    <w:p>
      <w:pPr>
        <w:ind w:firstLine="320" w:firstLineChars="100"/>
        <w:rPr>
          <w:rFonts w:ascii="仿宋_GB2312" w:hAnsi="仿宋" w:eastAsia="仿宋_GB2312"/>
          <w:sz w:val="32"/>
          <w:szCs w:val="32"/>
        </w:rPr>
      </w:pPr>
      <w:r>
        <w:rPr>
          <w:rFonts w:hint="eastAsia" w:ascii="仿宋_GB2312" w:hAnsi="仿宋" w:eastAsia="仿宋_GB2312"/>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sz w:val="32"/>
          <w:szCs w:val="32"/>
        </w:rPr>
        <w:t>服务蓝图</w:t>
      </w:r>
    </w:p>
    <w:p>
      <w:pPr>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服务引导牌：各网点均</w:t>
      </w:r>
      <w:r>
        <w:rPr>
          <w:rFonts w:hint="eastAsia" w:ascii="仿宋_GB2312" w:hAnsi="仿宋" w:eastAsia="仿宋_GB2312"/>
          <w:sz w:val="32"/>
          <w:szCs w:val="32"/>
          <w:lang w:eastAsia="zh-CN"/>
        </w:rPr>
        <w:t>已</w:t>
      </w:r>
      <w:r>
        <w:rPr>
          <w:rFonts w:hint="eastAsia" w:ascii="仿宋_GB2312" w:hAnsi="仿宋" w:eastAsia="仿宋_GB2312"/>
          <w:sz w:val="32"/>
          <w:szCs w:val="32"/>
        </w:rPr>
        <w:t>配备服务引导指示牌指引网点各个业务办理模块。</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三、</w:t>
      </w:r>
      <w:r>
        <w:rPr>
          <w:rFonts w:hint="eastAsia" w:ascii="黑体" w:hAnsi="黑体" w:eastAsia="黑体" w:cs="黑体"/>
          <w:b w:val="0"/>
          <w:bCs w:val="0"/>
          <w:color w:val="auto"/>
          <w:sz w:val="32"/>
          <w:szCs w:val="32"/>
          <w:highlight w:val="none"/>
        </w:rPr>
        <w:t>开销户业务</w:t>
      </w:r>
    </w:p>
    <w:p>
      <w:pPr>
        <w:ind w:firstLine="320" w:firstLineChars="100"/>
        <w:rPr>
          <w:rFonts w:hint="eastAsia" w:ascii="仿宋_GB2312" w:hAnsi="仿宋" w:eastAsia="仿宋_GB2312"/>
          <w:color w:val="auto"/>
          <w:sz w:val="32"/>
          <w:szCs w:val="32"/>
          <w:highlight w:val="none"/>
          <w:lang w:val="en-US"/>
        </w:rPr>
      </w:pPr>
      <w:r>
        <w:rPr>
          <w:rFonts w:hint="eastAsia" w:ascii="仿宋_GB2312" w:hAnsi="仿宋" w:eastAsia="仿宋_GB2312"/>
          <w:color w:val="auto"/>
          <w:sz w:val="32"/>
          <w:szCs w:val="32"/>
          <w:highlight w:val="none"/>
          <w:lang w:val="en-US" w:eastAsia="zh-CN"/>
        </w:rPr>
        <w:t xml:space="preserve">   1、</w:t>
      </w:r>
      <w:r>
        <w:rPr>
          <w:rFonts w:hint="eastAsia" w:ascii="仿宋_GB2312" w:hAnsi="仿宋" w:eastAsia="仿宋_GB2312"/>
          <w:color w:val="auto"/>
          <w:sz w:val="32"/>
          <w:szCs w:val="32"/>
          <w:highlight w:val="none"/>
          <w:lang w:eastAsia="zh-CN"/>
        </w:rPr>
        <w:t>柜面受理开户业务（对公、个人）。</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 xml:space="preserve">  </w:t>
      </w:r>
      <w:r>
        <w:rPr>
          <w:rFonts w:hint="eastAsia" w:ascii="仿宋_GB2312" w:hAnsi="仿宋" w:eastAsia="仿宋_GB2312"/>
          <w:color w:val="auto"/>
          <w:sz w:val="32"/>
          <w:szCs w:val="32"/>
          <w:highlight w:val="none"/>
        </w:rPr>
        <w:t>操作流程：</w:t>
      </w:r>
    </w:p>
    <w:p>
      <w:pPr>
        <w:ind w:firstLine="320" w:firstLineChars="1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 xml:space="preserve"> </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lang w:eastAsia="zh-CN"/>
        </w:rPr>
        <w:t>）客户</w:t>
      </w:r>
      <w:r>
        <w:rPr>
          <w:rFonts w:hint="eastAsia" w:ascii="仿宋_GB2312" w:hAnsi="仿宋" w:eastAsia="仿宋_GB2312"/>
          <w:color w:val="auto"/>
          <w:sz w:val="32"/>
          <w:szCs w:val="32"/>
          <w:highlight w:val="none"/>
        </w:rPr>
        <w:t>在</w:t>
      </w:r>
      <w:r>
        <w:rPr>
          <w:rFonts w:hint="eastAsia" w:ascii="仿宋_GB2312" w:hAnsi="仿宋" w:eastAsia="仿宋_GB2312"/>
          <w:color w:val="auto"/>
          <w:sz w:val="32"/>
          <w:szCs w:val="32"/>
          <w:highlight w:val="none"/>
          <w:lang w:eastAsia="zh-CN"/>
        </w:rPr>
        <w:t>柜面确认开户所需资料是否已齐全。</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 xml:space="preserve"> </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）柜员对客户提交的资料进行要素有效性核查（证件有效性、身份证联网核查、人脸识别、实名制核实、对公证照核实）。</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 xml:space="preserve"> </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lang w:eastAsia="zh-CN"/>
        </w:rPr>
        <w:t>）资料齐全、核查通过—</w:t>
      </w:r>
      <w:r>
        <w:rPr>
          <w:rFonts w:hint="eastAsia" w:ascii="仿宋_GB2312" w:hAnsi="仿宋" w:eastAsia="仿宋_GB2312"/>
          <w:color w:val="auto"/>
          <w:sz w:val="32"/>
          <w:szCs w:val="32"/>
          <w:highlight w:val="none"/>
          <w:lang w:val="en-US" w:eastAsia="zh-CN"/>
        </w:rPr>
        <w:t>&gt;</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 xml:space="preserve"> 前台受理：</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按照我行的开户操作流程进行系统开户信息录入；</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完成人行账户管理系统报备录入；</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按流程完成开户返回资料交付。</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后台审核：</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后台核实开户资料及法人开户意愿有效后启用账户。（对公户：企业法人、非法人企业、个体工商户在取消开户许可政策执行后，该三类账户开立之日即可办理收付款业务）</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lang w:eastAsia="zh-CN"/>
        </w:rPr>
        <w:t>）资料不齐、核查异常—</w:t>
      </w:r>
      <w:r>
        <w:rPr>
          <w:rFonts w:hint="eastAsia" w:ascii="仿宋_GB2312" w:hAnsi="仿宋" w:eastAsia="仿宋_GB2312"/>
          <w:color w:val="auto"/>
          <w:sz w:val="32"/>
          <w:szCs w:val="32"/>
          <w:highlight w:val="none"/>
          <w:lang w:val="en-US" w:eastAsia="zh-CN"/>
        </w:rPr>
        <w:t>&gt;</w:t>
      </w:r>
    </w:p>
    <w:p>
      <w:pPr>
        <w:ind w:firstLine="320" w:firstLineChars="1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告知客户缺失资料详情；</w:t>
      </w:r>
    </w:p>
    <w:p>
      <w:pPr>
        <w:ind w:firstLine="320" w:firstLineChars="1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告知客户资料有效性核查异常详情；</w:t>
      </w:r>
    </w:p>
    <w:p>
      <w:pPr>
        <w:ind w:firstLine="320" w:firstLineChars="1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按流程完成开户资料交付。</w:t>
      </w:r>
    </w:p>
    <w:p>
      <w:pPr>
        <w:ind w:firstLine="320" w:firstLineChars="100"/>
        <w:rPr>
          <w:rFonts w:hint="eastAsia" w:ascii="仿宋_GB2312" w:hAnsi="仿宋" w:eastAsia="仿宋_GB2312"/>
          <w:color w:val="auto"/>
          <w:sz w:val="32"/>
          <w:szCs w:val="32"/>
          <w:highlight w:val="none"/>
          <w:lang w:val="en-US"/>
        </w:rPr>
      </w:pPr>
      <w:r>
        <w:rPr>
          <w:rFonts w:hint="eastAsia" w:ascii="仿宋_GB2312" w:hAnsi="仿宋" w:eastAsia="仿宋_GB2312"/>
          <w:color w:val="auto"/>
          <w:sz w:val="32"/>
          <w:szCs w:val="32"/>
          <w:highlight w:val="none"/>
          <w:lang w:val="en-US" w:eastAsia="zh-CN"/>
        </w:rPr>
        <w:t xml:space="preserve">  2、柜面受理销户业务</w:t>
      </w:r>
      <w:r>
        <w:rPr>
          <w:rFonts w:hint="eastAsia" w:ascii="仿宋_GB2312" w:hAnsi="仿宋" w:eastAsia="仿宋_GB2312"/>
          <w:color w:val="auto"/>
          <w:sz w:val="32"/>
          <w:szCs w:val="32"/>
          <w:highlight w:val="none"/>
          <w:lang w:eastAsia="zh-CN"/>
        </w:rPr>
        <w:t>（对公、个人）</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操作流程：</w:t>
      </w:r>
    </w:p>
    <w:p>
      <w:pPr>
        <w:ind w:firstLine="320" w:firstLineChars="1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lang w:eastAsia="zh-CN"/>
        </w:rPr>
        <w:t>）客户</w:t>
      </w:r>
      <w:r>
        <w:rPr>
          <w:rFonts w:hint="eastAsia" w:ascii="仿宋_GB2312" w:hAnsi="仿宋" w:eastAsia="仿宋_GB2312"/>
          <w:color w:val="auto"/>
          <w:sz w:val="32"/>
          <w:szCs w:val="32"/>
          <w:highlight w:val="none"/>
        </w:rPr>
        <w:t>在</w:t>
      </w:r>
      <w:r>
        <w:rPr>
          <w:rFonts w:hint="eastAsia" w:ascii="仿宋_GB2312" w:hAnsi="仿宋" w:eastAsia="仿宋_GB2312"/>
          <w:color w:val="auto"/>
          <w:sz w:val="32"/>
          <w:szCs w:val="32"/>
          <w:highlight w:val="none"/>
          <w:lang w:eastAsia="zh-CN"/>
        </w:rPr>
        <w:t>柜面确认销户所需资料是否已齐全。</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）柜员对客户提交的资料进行要素有效性核查（证件有效性、身份证联网核查、人脸识别、实名制核实、对公证照核实）</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lang w:eastAsia="zh-CN"/>
        </w:rPr>
        <w:t>）资料齐全、核查通过—</w:t>
      </w:r>
      <w:r>
        <w:rPr>
          <w:rFonts w:hint="eastAsia" w:ascii="仿宋_GB2312" w:hAnsi="仿宋" w:eastAsia="仿宋_GB2312"/>
          <w:color w:val="auto"/>
          <w:sz w:val="32"/>
          <w:szCs w:val="32"/>
          <w:highlight w:val="none"/>
          <w:lang w:val="en-US" w:eastAsia="zh-CN"/>
        </w:rPr>
        <w:t>&gt;</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前台受理：</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按照我行的销户操作流程进行系统销户信息录入；</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完成人行账户管理系统报备录入（对公）；</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前台确认法人销户意愿核实（对公）；</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按流程完成销户返回资料交付。</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后台审核：</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后台核实销户资料；</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完成销户系统操作。</w:t>
      </w:r>
    </w:p>
    <w:p>
      <w:pPr>
        <w:ind w:firstLine="320" w:firstLineChars="1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lang w:eastAsia="zh-CN"/>
        </w:rPr>
        <w:t>）资料不齐、核查异常—</w:t>
      </w:r>
      <w:r>
        <w:rPr>
          <w:rFonts w:hint="eastAsia" w:ascii="仿宋_GB2312" w:hAnsi="仿宋" w:eastAsia="仿宋_GB2312"/>
          <w:color w:val="auto"/>
          <w:sz w:val="32"/>
          <w:szCs w:val="32"/>
          <w:highlight w:val="none"/>
          <w:lang w:val="en-US" w:eastAsia="zh-CN"/>
        </w:rPr>
        <w:t>&gt;</w:t>
      </w:r>
    </w:p>
    <w:p>
      <w:pPr>
        <w:ind w:firstLine="320" w:firstLineChars="1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告知客户缺失资料详情；</w:t>
      </w:r>
    </w:p>
    <w:p>
      <w:pPr>
        <w:ind w:firstLine="320" w:firstLineChars="1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告知客户资料有效性核查异常详情；</w:t>
      </w:r>
    </w:p>
    <w:p>
      <w:pPr>
        <w:ind w:firstLine="320" w:firstLineChars="1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lang w:eastAsia="zh-CN"/>
        </w:rPr>
        <w:t>按流程完成销户资料交付。</w:t>
      </w:r>
    </w:p>
    <w:p>
      <w:pPr>
        <w:ind w:firstLine="320" w:firstLineChars="1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 xml:space="preserve">  3、云账户办理流程（网页版版）</w:t>
      </w:r>
    </w:p>
    <w:p>
      <w:pPr>
        <w:ind w:firstLine="320" w:firstLineChars="100"/>
        <w:rPr>
          <w:rFonts w:hint="eastAsia" w:ascii="仿宋_GB2312" w:hAnsi="仿宋" w:eastAsia="仿宋_GB2312"/>
          <w:color w:val="auto"/>
          <w:sz w:val="32"/>
          <w:szCs w:val="32"/>
          <w:highlight w:val="none"/>
          <w:lang w:val="en-US" w:eastAsia="zh-CN"/>
        </w:rPr>
      </w:pPr>
      <w:r>
        <w:rPr>
          <w:rFonts w:hint="eastAsia" w:ascii="仿宋_GB2312" w:hAnsi="仿宋" w:eastAsia="仿宋_GB2312" w:cs="黑体"/>
          <w:color w:val="auto"/>
          <w:kern w:val="2"/>
          <w:sz w:val="32"/>
          <w:szCs w:val="32"/>
          <w:highlight w:val="none"/>
          <w:lang w:val="en-US" w:eastAsia="zh-CN" w:bidi="ar-SA"/>
        </w:rPr>
        <w:pict>
          <v:shape id="图片 5" o:spid="_x0000_s1027" type="#_x0000_t75" style="height:338.65pt;width:312.55pt;rotation:0f;" o:ole="f" fillcolor="#FFFFFF" filled="f" o:preferrelative="t" stroked="f" coordorigin="0,0" coordsize="21600,21600">
            <v:fill on="f" color2="#FFFFFF" focus="0%"/>
            <v:imagedata gain="65536f" blacklevel="0f" gamma="0" o:title="附件2：云账户办理流程（网页版版） - 副本" r:id="rId6"/>
            <o:lock v:ext="edit" position="f" selection="f" grouping="f" rotation="f" cropping="f" text="f" aspectratio="t"/>
            <w10:wrap type="none"/>
            <w10:anchorlock/>
          </v:shape>
        </w:pict>
      </w:r>
    </w:p>
    <w:p>
      <w:pPr>
        <w:ind w:firstLine="160" w:firstLineChars="5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 xml:space="preserve">    4、云账户办理流程（微信版）</w:t>
      </w:r>
    </w:p>
    <w:p>
      <w:pPr>
        <w:ind w:firstLine="160" w:firstLineChars="50"/>
        <w:jc w:val="left"/>
        <w:rPr>
          <w:rFonts w:hint="eastAsia" w:ascii="仿宋_GB2312" w:hAnsi="仿宋" w:eastAsia="仿宋_GB2312"/>
          <w:color w:val="auto"/>
          <w:sz w:val="32"/>
          <w:szCs w:val="32"/>
          <w:highlight w:val="none"/>
          <w:lang w:val="en-US" w:eastAsia="zh-CN"/>
        </w:rPr>
      </w:pPr>
      <w:r>
        <w:rPr>
          <w:rFonts w:hint="eastAsia" w:ascii="仿宋_GB2312" w:hAnsi="仿宋" w:eastAsia="仿宋_GB2312" w:cs="黑体"/>
          <w:color w:val="auto"/>
          <w:kern w:val="2"/>
          <w:sz w:val="32"/>
          <w:szCs w:val="32"/>
          <w:highlight w:val="none"/>
          <w:lang w:val="en-US" w:eastAsia="zh-CN" w:bidi="ar-SA"/>
        </w:rPr>
        <w:pict>
          <v:shape id="图片 7" o:spid="_x0000_s1028" type="#_x0000_t75" style="height:309.4pt;width:331.8pt;rotation:0f;" o:ole="f" fillcolor="#FFFFFF" filled="f" o:preferrelative="t" stroked="f" coordorigin="0,0" coordsize="21600,21600">
            <v:fill on="f" color2="#FFFFFF" focus="0%"/>
            <v:imagedata gain="65536f" blacklevel="0f" gamma="0" o:title="附件3：云账户办理流程（微信版） - 副本" r:id="rId7"/>
            <o:lock v:ext="edit" position="f" selection="f" grouping="f" rotation="f" cropping="f" text="f" aspectratio="t"/>
            <w10:wrap type="none"/>
            <w10:anchorlock/>
          </v:shape>
        </w:pict>
      </w:r>
    </w:p>
    <w:p>
      <w:pPr>
        <w:numPr>
          <w:numId w:val="0"/>
        </w:numPr>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val="en-US" w:eastAsia="zh-CN"/>
        </w:rPr>
        <w:t>四、窗口业务</w:t>
      </w:r>
    </w:p>
    <w:p>
      <w:pPr>
        <w:numPr>
          <w:numId w:val="0"/>
        </w:numPr>
        <w:ind w:firstLine="640" w:firstLineChars="200"/>
        <w:rPr>
          <w:rFonts w:ascii="仿宋_GB2312" w:hAnsi="仿宋" w:eastAsia="仿宋_GB2312"/>
          <w:color w:val="0C0C0C"/>
          <w:sz w:val="32"/>
          <w:szCs w:val="32"/>
        </w:rPr>
      </w:pPr>
      <w:r>
        <w:rPr>
          <w:rFonts w:hint="eastAsia" w:ascii="仿宋_GB2312" w:hAnsi="仿宋" w:eastAsia="仿宋_GB2312"/>
          <w:color w:val="0C0C0C"/>
          <w:sz w:val="32"/>
          <w:szCs w:val="32"/>
          <w:lang w:val="en-US" w:eastAsia="zh-CN"/>
        </w:rPr>
        <w:t xml:space="preserve"> </w:t>
      </w:r>
      <w:r>
        <w:rPr>
          <w:rFonts w:hint="eastAsia" w:ascii="仿宋_GB2312" w:hAnsi="仿宋" w:eastAsia="仿宋_GB2312"/>
          <w:color w:val="0C0C0C"/>
          <w:sz w:val="32"/>
          <w:szCs w:val="32"/>
        </w:rPr>
        <w:t>1、</w:t>
      </w:r>
      <w:r>
        <w:rPr>
          <w:rFonts w:hint="eastAsia" w:ascii="仿宋_GB2312" w:hAnsi="仿宋" w:eastAsia="仿宋_GB2312"/>
          <w:color w:val="0C0C0C"/>
          <w:sz w:val="32"/>
          <w:szCs w:val="32"/>
          <w:lang w:eastAsia="zh-CN"/>
        </w:rPr>
        <w:t>已设置</w:t>
      </w:r>
      <w:r>
        <w:rPr>
          <w:rFonts w:hint="eastAsia" w:ascii="仿宋_GB2312" w:hAnsi="仿宋" w:eastAsia="仿宋_GB2312"/>
          <w:color w:val="0C0C0C"/>
          <w:sz w:val="32"/>
          <w:szCs w:val="32"/>
        </w:rPr>
        <w:t>弹性服务窗口</w:t>
      </w:r>
      <w:r>
        <w:rPr>
          <w:rFonts w:hint="eastAsia" w:ascii="仿宋_GB2312" w:hAnsi="仿宋" w:eastAsia="仿宋_GB2312"/>
          <w:color w:val="0C0C0C"/>
          <w:sz w:val="32"/>
          <w:szCs w:val="32"/>
          <w:lang w:eastAsia="zh-CN"/>
        </w:rPr>
        <w:t>和</w:t>
      </w:r>
      <w:r>
        <w:rPr>
          <w:rFonts w:hint="eastAsia" w:ascii="仿宋_GB2312" w:hAnsi="仿宋" w:eastAsia="仿宋_GB2312"/>
          <w:color w:val="0C0C0C"/>
          <w:sz w:val="32"/>
          <w:szCs w:val="32"/>
        </w:rPr>
        <w:t>专门业务（大额存取业务</w:t>
      </w:r>
      <w:r>
        <w:rPr>
          <w:rFonts w:hint="eastAsia" w:ascii="仿宋_GB2312" w:hAnsi="仿宋" w:eastAsia="仿宋_GB2312"/>
          <w:color w:val="0C0C0C"/>
          <w:sz w:val="32"/>
          <w:szCs w:val="32"/>
          <w:lang w:eastAsia="zh-CN"/>
        </w:rPr>
        <w:t>等</w:t>
      </w:r>
      <w:r>
        <w:rPr>
          <w:rFonts w:hint="eastAsia" w:ascii="仿宋_GB2312" w:hAnsi="仿宋" w:eastAsia="仿宋_GB2312"/>
          <w:color w:val="0C0C0C"/>
          <w:sz w:val="32"/>
          <w:szCs w:val="32"/>
        </w:rPr>
        <w:t>）</w:t>
      </w:r>
      <w:r>
        <w:rPr>
          <w:rFonts w:hint="eastAsia" w:ascii="仿宋_GB2312" w:hAnsi="仿宋" w:eastAsia="仿宋_GB2312"/>
          <w:color w:val="0C0C0C"/>
          <w:sz w:val="32"/>
          <w:szCs w:val="32"/>
          <w:lang w:eastAsia="zh-CN"/>
        </w:rPr>
        <w:t>窗口</w:t>
      </w:r>
      <w:r>
        <w:rPr>
          <w:rFonts w:hint="eastAsia" w:ascii="仿宋_GB2312" w:hAnsi="仿宋" w:eastAsia="仿宋_GB2312"/>
          <w:color w:val="0C0C0C"/>
          <w:sz w:val="32"/>
          <w:szCs w:val="32"/>
        </w:rPr>
        <w:t>，以上两窗口按照客流情况进行实时灵活安排</w:t>
      </w:r>
      <w:r>
        <w:rPr>
          <w:rFonts w:hint="eastAsia" w:ascii="仿宋_GB2312" w:hAnsi="仿宋" w:eastAsia="仿宋_GB2312"/>
          <w:color w:val="0C0C0C"/>
          <w:sz w:val="32"/>
          <w:szCs w:val="32"/>
          <w:lang w:eastAsia="zh-CN"/>
        </w:rPr>
        <w:t>；</w:t>
      </w:r>
    </w:p>
    <w:p>
      <w:pPr>
        <w:ind w:firstLine="640" w:firstLineChars="200"/>
        <w:rPr>
          <w:rFonts w:ascii="仿宋_GB2312" w:hAnsi="仿宋" w:eastAsia="仿宋_GB2312"/>
          <w:color w:val="0C0C0C"/>
          <w:sz w:val="32"/>
          <w:szCs w:val="32"/>
        </w:rPr>
      </w:pPr>
      <w:r>
        <w:rPr>
          <w:rFonts w:hint="eastAsia" w:ascii="仿宋_GB2312" w:hAnsi="仿宋" w:eastAsia="仿宋_GB2312"/>
          <w:color w:val="0C0C0C"/>
          <w:sz w:val="32"/>
          <w:szCs w:val="32"/>
          <w:lang w:val="en-US" w:eastAsia="zh-CN"/>
        </w:rPr>
        <w:t xml:space="preserve"> </w:t>
      </w:r>
      <w:r>
        <w:rPr>
          <w:rFonts w:hint="eastAsia" w:ascii="仿宋_GB2312" w:hAnsi="仿宋" w:eastAsia="仿宋_GB2312"/>
          <w:color w:val="0C0C0C"/>
          <w:sz w:val="32"/>
          <w:szCs w:val="32"/>
        </w:rPr>
        <w:t>2、客流高低峰时段提示</w:t>
      </w:r>
      <w:r>
        <w:rPr>
          <w:rFonts w:hint="eastAsia" w:ascii="仿宋_GB2312" w:hAnsi="仿宋" w:eastAsia="仿宋_GB2312"/>
          <w:color w:val="0C0C0C"/>
          <w:sz w:val="32"/>
          <w:szCs w:val="32"/>
          <w:lang w:eastAsia="zh-CN"/>
        </w:rPr>
        <w:t>：已在各网点悬挂提示牌；</w:t>
      </w:r>
      <w:bookmarkStart w:id="0" w:name="_GoBack"/>
      <w:bookmarkEnd w:id="0"/>
    </w:p>
    <w:p>
      <w:pPr>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0C0C0C"/>
          <w:sz w:val="32"/>
          <w:szCs w:val="32"/>
          <w:lang w:val="en-US" w:eastAsia="zh-CN"/>
        </w:rPr>
        <w:t xml:space="preserve"> </w:t>
      </w:r>
      <w:r>
        <w:rPr>
          <w:rFonts w:hint="eastAsia" w:ascii="仿宋_GB2312" w:hAnsi="仿宋" w:eastAsia="仿宋_GB2312"/>
          <w:color w:val="0C0C0C"/>
          <w:sz w:val="32"/>
          <w:szCs w:val="32"/>
        </w:rPr>
        <w:t>3、营业网点管理人员信息：</w:t>
      </w:r>
      <w:r>
        <w:rPr>
          <w:rFonts w:hint="eastAsia" w:ascii="仿宋_GB2312" w:hAnsi="仿宋" w:eastAsia="仿宋_GB2312"/>
          <w:color w:val="0C0C0C"/>
          <w:sz w:val="32"/>
          <w:szCs w:val="32"/>
          <w:lang w:eastAsia="zh-CN"/>
        </w:rPr>
        <w:t>已在各网点展示</w:t>
      </w:r>
      <w:r>
        <w:rPr>
          <w:rFonts w:hint="eastAsia" w:ascii="仿宋_GB2312" w:hAnsi="仿宋" w:eastAsia="仿宋_GB2312"/>
          <w:color w:val="0C0C0C"/>
          <w:sz w:val="32"/>
          <w:szCs w:val="32"/>
        </w:rPr>
        <w:t>厅堂主管、服务经理的姓名及岗位</w:t>
      </w:r>
      <w:r>
        <w:rPr>
          <w:rFonts w:hint="eastAsia" w:ascii="仿宋_GB2312" w:hAnsi="仿宋" w:eastAsia="仿宋_GB2312"/>
          <w:color w:val="0C0C0C"/>
          <w:sz w:val="32"/>
          <w:szCs w:val="32"/>
          <w:lang w:eastAsia="zh-CN"/>
        </w:rPr>
        <w:t>。</w:t>
      </w:r>
    </w:p>
    <w:p>
      <w:pPr>
        <w:numPr>
          <w:numId w:val="0"/>
        </w:numPr>
        <w:ind w:firstLine="320" w:firstLineChars="10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五、贷款办理业务</w:t>
      </w:r>
    </w:p>
    <w:p>
      <w:pPr>
        <w:widowControl w:val="0"/>
        <w:numPr>
          <w:numId w:val="0"/>
        </w:numPr>
        <w:jc w:val="both"/>
        <w:rPr>
          <w:rFonts w:hint="eastAsia" w:ascii="仿宋_GB2312" w:hAnsi="仿宋" w:eastAsia="仿宋_GB2312"/>
          <w:color w:val="auto"/>
          <w:sz w:val="32"/>
          <w:szCs w:val="32"/>
          <w:highlight w:val="none"/>
          <w:lang w:eastAsia="zh-CN"/>
        </w:rPr>
      </w:pPr>
    </w:p>
    <w:p>
      <w:pPr>
        <w:widowControl w:val="0"/>
        <w:numPr>
          <w:numId w:val="0"/>
        </w:numPr>
        <w:jc w:val="both"/>
        <w:rPr>
          <w:rFonts w:hint="eastAsia" w:ascii="仿宋_GB2312" w:hAnsi="仿宋" w:eastAsia="仿宋_GB2312"/>
          <w:color w:val="auto"/>
          <w:sz w:val="32"/>
          <w:szCs w:val="32"/>
          <w:highlight w:val="none"/>
          <w:lang w:eastAsia="zh-CN"/>
        </w:rPr>
      </w:pPr>
    </w:p>
    <w:p>
      <w:pPr>
        <w:widowControl w:val="0"/>
        <w:numPr>
          <w:numId w:val="0"/>
        </w:numPr>
        <w:jc w:val="both"/>
        <w:rPr>
          <w:rFonts w:hint="eastAsia" w:ascii="仿宋_GB2312" w:hAnsi="仿宋" w:eastAsia="仿宋_GB2312"/>
          <w:color w:val="auto"/>
          <w:sz w:val="32"/>
          <w:szCs w:val="32"/>
          <w:highlight w:val="none"/>
          <w:lang w:eastAsia="zh-CN"/>
        </w:rPr>
      </w:pPr>
    </w:p>
    <w:p>
      <w:pPr>
        <w:widowControl w:val="0"/>
        <w:numPr>
          <w:numId w:val="0"/>
        </w:numPr>
        <w:jc w:val="both"/>
        <w:rPr>
          <w:rFonts w:hint="eastAsia" w:ascii="仿宋_GB2312" w:hAnsi="仿宋" w:eastAsia="仿宋_GB2312"/>
          <w:color w:val="auto"/>
          <w:sz w:val="32"/>
          <w:szCs w:val="32"/>
          <w:highlight w:val="none"/>
          <w:lang w:eastAsia="zh-CN"/>
        </w:rPr>
      </w:pPr>
    </w:p>
    <w:p>
      <w:pPr>
        <w:widowControl w:val="0"/>
        <w:numPr>
          <w:numId w:val="0"/>
        </w:numPr>
        <w:jc w:val="both"/>
        <w:rPr>
          <w:rFonts w:hint="eastAsia" w:ascii="仿宋_GB2312" w:hAnsi="仿宋" w:eastAsia="仿宋_GB2312"/>
          <w:color w:val="auto"/>
          <w:sz w:val="32"/>
          <w:szCs w:val="32"/>
          <w:highlight w:val="none"/>
          <w:lang w:eastAsia="zh-CN"/>
        </w:rPr>
      </w:pPr>
    </w:p>
    <w:p>
      <w:pPr>
        <w:widowControl w:val="0"/>
        <w:numPr>
          <w:numId w:val="0"/>
        </w:numPr>
        <w:jc w:val="both"/>
        <w:rPr>
          <w:rFonts w:hint="eastAsia" w:ascii="仿宋_GB2312" w:hAnsi="仿宋" w:eastAsia="仿宋_GB2312"/>
          <w:color w:val="auto"/>
          <w:sz w:val="32"/>
          <w:szCs w:val="32"/>
          <w:highlight w:val="none"/>
          <w:lang w:eastAsia="zh-CN"/>
        </w:rPr>
      </w:pPr>
    </w:p>
    <w:p>
      <w:pPr>
        <w:widowControl w:val="0"/>
        <w:numPr>
          <w:numId w:val="0"/>
        </w:numPr>
        <w:jc w:val="both"/>
        <w:rPr>
          <w:rFonts w:hint="eastAsia" w:ascii="仿宋_GB2312" w:hAnsi="仿宋" w:eastAsia="仿宋_GB2312"/>
          <w:color w:val="auto"/>
          <w:sz w:val="32"/>
          <w:szCs w:val="32"/>
          <w:highlight w:val="none"/>
          <w:lang w:eastAsia="zh-CN"/>
        </w:rPr>
      </w:pPr>
    </w:p>
    <w:p>
      <w:pPr>
        <w:widowControl w:val="0"/>
        <w:numPr>
          <w:numId w:val="0"/>
        </w:numPr>
        <w:jc w:val="both"/>
        <w:rPr>
          <w:rFonts w:hint="eastAsia" w:ascii="仿宋_GB2312" w:hAnsi="仿宋" w:eastAsia="仿宋_GB2312"/>
          <w:color w:val="auto"/>
          <w:sz w:val="32"/>
          <w:szCs w:val="32"/>
          <w:highlight w:val="none"/>
          <w:lang w:eastAsia="zh-CN"/>
        </w:rPr>
      </w:pPr>
    </w:p>
    <w:p>
      <w:pPr>
        <w:jc w:val="center"/>
        <w:rPr>
          <w:rFonts w:hint="eastAsia" w:ascii="仿宋_GB2312" w:hAnsi="仿宋" w:eastAsia="仿宋_GB2312"/>
          <w:color w:val="auto"/>
          <w:sz w:val="32"/>
          <w:szCs w:val="32"/>
          <w:highlight w:val="none"/>
          <w:lang w:eastAsia="zh-CN"/>
        </w:rPr>
        <w:sectPr>
          <w:pgSz w:w="11906" w:h="16838"/>
          <w:pgMar w:top="1440" w:right="1800" w:bottom="1440" w:left="1800" w:header="851" w:footer="992" w:gutter="0"/>
          <w:cols w:space="720" w:num="1"/>
          <w:docGrid w:type="lines" w:linePitch="312" w:charSpace="0"/>
        </w:sectPr>
      </w:pPr>
    </w:p>
    <w:tbl>
      <w:tblPr>
        <w:tblStyle w:val="8"/>
        <w:tblpPr w:leftFromText="180" w:rightFromText="180" w:vertAnchor="text" w:horzAnchor="page" w:tblpXSpec="center" w:tblpY="613"/>
        <w:tblOverlap w:val="never"/>
        <w:tblW w:w="13055" w:type="dxa"/>
        <w:jc w:val="center"/>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163"/>
        <w:gridCol w:w="5587"/>
        <w:gridCol w:w="3619"/>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1" w:type="dxa"/>
            <w:vAlign w:val="top"/>
          </w:tcPr>
          <w:p>
            <w:pPr>
              <w:jc w:val="center"/>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序号</w:t>
            </w:r>
          </w:p>
        </w:tc>
        <w:tc>
          <w:tcPr>
            <w:tcW w:w="1163" w:type="dxa"/>
            <w:vAlign w:val="top"/>
          </w:tcPr>
          <w:p>
            <w:pPr>
              <w:jc w:val="center"/>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贷款种类</w:t>
            </w:r>
          </w:p>
        </w:tc>
        <w:tc>
          <w:tcPr>
            <w:tcW w:w="5587" w:type="dxa"/>
            <w:vAlign w:val="top"/>
          </w:tcPr>
          <w:p>
            <w:pPr>
              <w:jc w:val="center"/>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需提供材料</w:t>
            </w:r>
          </w:p>
        </w:tc>
        <w:tc>
          <w:tcPr>
            <w:tcW w:w="3619" w:type="dxa"/>
            <w:vAlign w:val="top"/>
          </w:tcPr>
          <w:p>
            <w:pPr>
              <w:jc w:val="center"/>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贷款流程</w:t>
            </w:r>
          </w:p>
        </w:tc>
        <w:tc>
          <w:tcPr>
            <w:tcW w:w="1655" w:type="dxa"/>
            <w:vAlign w:val="top"/>
          </w:tcPr>
          <w:p>
            <w:pPr>
              <w:jc w:val="center"/>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答复时限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1" w:type="dxa"/>
            <w:vAlign w:val="top"/>
          </w:tcPr>
          <w:p>
            <w:pPr>
              <w:jc w:val="center"/>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1</w:t>
            </w:r>
          </w:p>
        </w:tc>
        <w:tc>
          <w:tcPr>
            <w:tcW w:w="1163" w:type="dxa"/>
            <w:vAlign w:val="center"/>
          </w:tcPr>
          <w:p>
            <w:pPr>
              <w:jc w:val="center"/>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个人小额保证消费贷款</w:t>
            </w:r>
          </w:p>
        </w:tc>
        <w:tc>
          <w:tcPr>
            <w:tcW w:w="5587" w:type="dxa"/>
            <w:vAlign w:val="top"/>
          </w:tcPr>
          <w:p>
            <w:pPr>
              <w:jc w:val="left"/>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本人及配偶的身份证、户口本、婚姻证明、收入证明、半年工资流水、资产证明、贷款用途（合同）、个人征询查询申请表；保证人同借款人。</w:t>
            </w:r>
          </w:p>
        </w:tc>
        <w:tc>
          <w:tcPr>
            <w:tcW w:w="3619" w:type="dxa"/>
            <w:vAlign w:val="top"/>
          </w:tcPr>
          <w:p>
            <w:pPr>
              <w:jc w:val="left"/>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客户经理收集资料上报、分行审批、客户签约、运管部放款。</w:t>
            </w:r>
          </w:p>
        </w:tc>
        <w:tc>
          <w:tcPr>
            <w:tcW w:w="1655" w:type="dxa"/>
            <w:vAlign w:val="top"/>
          </w:tcPr>
          <w:p>
            <w:pPr>
              <w:jc w:val="center"/>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分行权限内3个工作日。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1" w:type="dxa"/>
            <w:vAlign w:val="top"/>
          </w:tcPr>
          <w:p>
            <w:pPr>
              <w:jc w:val="center"/>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w:t>
            </w:r>
          </w:p>
        </w:tc>
        <w:tc>
          <w:tcPr>
            <w:tcW w:w="1163" w:type="dxa"/>
            <w:vAlign w:val="center"/>
          </w:tcPr>
          <w:p>
            <w:pPr>
              <w:jc w:val="center"/>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房抵贷消费贷款</w:t>
            </w:r>
          </w:p>
        </w:tc>
        <w:tc>
          <w:tcPr>
            <w:tcW w:w="5587" w:type="dxa"/>
            <w:vAlign w:val="top"/>
          </w:tcPr>
          <w:p>
            <w:pPr>
              <w:jc w:val="left"/>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本人及配偶的身份证、户口本、婚姻证明、收入证明、半年工资流水、资产证明、抵押物产权证及评估证明、贷款用途（合同）、个人征询查询申请表。</w:t>
            </w:r>
          </w:p>
        </w:tc>
        <w:tc>
          <w:tcPr>
            <w:tcW w:w="3619" w:type="dxa"/>
            <w:vAlign w:val="top"/>
          </w:tcPr>
          <w:p>
            <w:pPr>
              <w:jc w:val="left"/>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客户经理收集资料上报、分行审批、客户签约、房产交易中心抵押登记、取件后交运管部放款。</w:t>
            </w:r>
          </w:p>
        </w:tc>
        <w:tc>
          <w:tcPr>
            <w:tcW w:w="1655" w:type="dxa"/>
            <w:vAlign w:val="top"/>
          </w:tcPr>
          <w:p>
            <w:pPr>
              <w:jc w:val="center"/>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分行权限内3个工作日。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1" w:type="dxa"/>
            <w:vAlign w:val="top"/>
          </w:tcPr>
          <w:p>
            <w:pPr>
              <w:jc w:val="center"/>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w:t>
            </w:r>
          </w:p>
        </w:tc>
        <w:tc>
          <w:tcPr>
            <w:tcW w:w="1163" w:type="dxa"/>
            <w:vAlign w:val="center"/>
          </w:tcPr>
          <w:p>
            <w:pPr>
              <w:jc w:val="center"/>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个人住房贷款</w:t>
            </w:r>
          </w:p>
        </w:tc>
        <w:tc>
          <w:tcPr>
            <w:tcW w:w="5587" w:type="dxa"/>
            <w:vAlign w:val="top"/>
          </w:tcPr>
          <w:p>
            <w:pPr>
              <w:jc w:val="left"/>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本人及配偶的身份证、户口本、婚姻证明、收入证明、半年工资流水、房屋买卖合同、首付款凭证、个人征询查询申请表。</w:t>
            </w:r>
          </w:p>
        </w:tc>
        <w:tc>
          <w:tcPr>
            <w:tcW w:w="3619" w:type="dxa"/>
            <w:vAlign w:val="top"/>
          </w:tcPr>
          <w:p>
            <w:pPr>
              <w:jc w:val="left"/>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客户经理收集资料上报、分行审批、客户签约、房产交易中心抵押登记、取件后交运管部放款。</w:t>
            </w:r>
          </w:p>
        </w:tc>
        <w:tc>
          <w:tcPr>
            <w:tcW w:w="1655" w:type="dxa"/>
            <w:vAlign w:val="top"/>
          </w:tcPr>
          <w:p>
            <w:pPr>
              <w:jc w:val="center"/>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分行权限内3个工作日。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1" w:type="dxa"/>
            <w:vAlign w:val="top"/>
          </w:tcPr>
          <w:p>
            <w:pPr>
              <w:jc w:val="center"/>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4</w:t>
            </w:r>
          </w:p>
        </w:tc>
        <w:tc>
          <w:tcPr>
            <w:tcW w:w="1163" w:type="dxa"/>
            <w:vAlign w:val="top"/>
          </w:tcPr>
          <w:p>
            <w:pPr>
              <w:jc w:val="center"/>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小微企业流动资金贷款</w:t>
            </w:r>
          </w:p>
        </w:tc>
        <w:tc>
          <w:tcPr>
            <w:tcW w:w="5587" w:type="dxa"/>
            <w:vAlign w:val="top"/>
          </w:tcPr>
          <w:p>
            <w:pPr>
              <w:jc w:val="center"/>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1、借款申请；2、借款人及配偶身份证、户口本、婚姻状况证明；3、保证人、抵押人、共有权人及配偶身份证件、户口、婚姻证明；4、借款人及配偶、抵押人及配偶、担保人及配偶征信授权书，逾期结清证明；5、抵（质）押物核查情况（初评报告/评估证明、抵押物产权证）；6、抵押物租赁合同、承租人身份证、承租人声明；7、公司营业执照；8、经营收入证明，包括但不限于资金流水、纳税证明、财务报表等；9、家庭资产证明等；10、经营场所证明，包括但不限于营业场所租赁合同、水电气缴费证明等；11、贷款用途资料，包括但不限于采购合同等。视项目具体情况，可要求申请人提供其他资料</w:t>
            </w:r>
          </w:p>
        </w:tc>
        <w:tc>
          <w:tcPr>
            <w:tcW w:w="3619" w:type="dxa"/>
            <w:vAlign w:val="top"/>
          </w:tcPr>
          <w:p>
            <w:pPr>
              <w:jc w:val="center"/>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1、客户经理调查、搜集资料；</w:t>
            </w:r>
          </w:p>
          <w:p>
            <w:pPr>
              <w:jc w:val="both"/>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2、支行行长审批；</w:t>
            </w:r>
          </w:p>
          <w:p>
            <w:pPr>
              <w:jc w:val="center"/>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3、分行授信评审部审查人员初审、复核；</w:t>
            </w:r>
          </w:p>
          <w:p>
            <w:pPr>
              <w:jc w:val="center"/>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4、分行主管行领导权限内审批；</w:t>
            </w:r>
          </w:p>
          <w:p>
            <w:pPr>
              <w:jc w:val="center"/>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5、分行行长权限内审批；</w:t>
            </w:r>
          </w:p>
          <w:p>
            <w:pPr>
              <w:jc w:val="center"/>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6、超分行权限的报总行审批。</w:t>
            </w:r>
          </w:p>
        </w:tc>
        <w:tc>
          <w:tcPr>
            <w:tcW w:w="1655" w:type="dxa"/>
            <w:vAlign w:val="top"/>
          </w:tcPr>
          <w:p>
            <w:pPr>
              <w:jc w:val="center"/>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在与客户充分沟通、授信申报资料补充齐备完整的前提下，业务平均审批时效约10个工作日。</w:t>
            </w:r>
          </w:p>
        </w:tc>
      </w:tr>
    </w:tbl>
    <w:p>
      <w:pPr>
        <w:rPr>
          <w:rFonts w:hint="eastAsia" w:ascii="仿宋_GB2312" w:hAnsi="仿宋" w:eastAsia="仿宋_GB2312"/>
          <w:color w:val="auto"/>
          <w:sz w:val="32"/>
          <w:szCs w:val="32"/>
          <w:highlight w:val="none"/>
          <w:lang w:eastAsia="zh-CN"/>
        </w:rPr>
      </w:pPr>
    </w:p>
    <w:p>
      <w:pPr>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 xml:space="preserve">  </w:t>
      </w:r>
    </w:p>
    <w:p>
      <w:pPr>
        <w:rPr>
          <w:rFonts w:hint="eastAsia" w:ascii="仿宋_GB2312" w:hAnsi="仿宋" w:eastAsia="仿宋_GB2312"/>
          <w:color w:val="auto"/>
          <w:sz w:val="32"/>
          <w:szCs w:val="32"/>
          <w:highlight w:val="none"/>
          <w:lang w:val="en-US" w:eastAsia="zh-CN"/>
        </w:rPr>
      </w:pPr>
    </w:p>
    <w:p>
      <w:pPr>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 xml:space="preserve">    </w:t>
      </w:r>
    </w:p>
    <w:p>
      <w:pPr>
        <w:rPr>
          <w:rFonts w:hint="eastAsia" w:ascii="仿宋_GB2312" w:hAnsi="仿宋" w:eastAsia="仿宋_GB2312"/>
          <w:color w:val="auto"/>
          <w:sz w:val="32"/>
          <w:szCs w:val="32"/>
          <w:highlight w:val="none"/>
          <w:lang w:val="en-US" w:eastAsia="zh-CN"/>
        </w:rPr>
      </w:pPr>
    </w:p>
    <w:p>
      <w:pPr>
        <w:rPr>
          <w:rFonts w:hint="eastAsia" w:ascii="仿宋_GB2312" w:hAnsi="仿宋" w:eastAsia="仿宋_GB2312"/>
          <w:color w:val="auto"/>
          <w:sz w:val="32"/>
          <w:szCs w:val="32"/>
          <w:highlight w:val="none"/>
          <w:lang w:val="en-US" w:eastAsia="zh-CN"/>
        </w:rPr>
      </w:pPr>
    </w:p>
    <w:p>
      <w:pPr>
        <w:rPr>
          <w:rFonts w:hint="eastAsia" w:ascii="仿宋_GB2312" w:hAnsi="仿宋" w:eastAsia="仿宋_GB2312"/>
          <w:color w:val="auto"/>
          <w:sz w:val="32"/>
          <w:szCs w:val="32"/>
          <w:highlight w:val="none"/>
          <w:lang w:val="en-US" w:eastAsia="zh-CN"/>
        </w:rPr>
      </w:pPr>
    </w:p>
    <w:p>
      <w:pPr>
        <w:rPr>
          <w:rFonts w:hint="eastAsia" w:ascii="仿宋_GB2312" w:hAnsi="仿宋" w:eastAsia="仿宋_GB2312"/>
          <w:color w:val="auto"/>
          <w:sz w:val="32"/>
          <w:szCs w:val="32"/>
          <w:highlight w:val="none"/>
          <w:lang w:val="en-US" w:eastAsia="zh-CN"/>
        </w:rPr>
      </w:pPr>
    </w:p>
    <w:p>
      <w:pPr>
        <w:rPr>
          <w:rFonts w:hint="eastAsia" w:ascii="仿宋_GB2312" w:hAnsi="仿宋" w:eastAsia="仿宋_GB2312"/>
          <w:color w:val="auto"/>
          <w:sz w:val="32"/>
          <w:szCs w:val="32"/>
          <w:highlight w:val="none"/>
          <w:lang w:val="en-US" w:eastAsia="zh-CN"/>
        </w:rPr>
      </w:pPr>
    </w:p>
    <w:p>
      <w:pPr>
        <w:rPr>
          <w:rFonts w:hint="eastAsia" w:ascii="仿宋_GB2312" w:hAnsi="仿宋" w:eastAsia="仿宋_GB2312"/>
          <w:color w:val="auto"/>
          <w:sz w:val="32"/>
          <w:szCs w:val="32"/>
          <w:highlight w:val="none"/>
          <w:lang w:val="en-US" w:eastAsia="zh-CN"/>
        </w:rPr>
      </w:pPr>
    </w:p>
    <w:p>
      <w:pPr>
        <w:rPr>
          <w:rFonts w:hint="eastAsia" w:ascii="仿宋_GB2312" w:hAnsi="仿宋" w:eastAsia="仿宋_GB2312"/>
          <w:color w:val="auto"/>
          <w:sz w:val="32"/>
          <w:szCs w:val="32"/>
          <w:highlight w:val="none"/>
          <w:lang w:val="en-US" w:eastAsia="zh-CN"/>
        </w:rPr>
      </w:pPr>
    </w:p>
    <w:p>
      <w:pPr>
        <w:rPr>
          <w:rFonts w:hint="eastAsia" w:ascii="仿宋_GB2312" w:hAnsi="仿宋" w:eastAsia="仿宋_GB2312"/>
          <w:color w:val="auto"/>
          <w:sz w:val="32"/>
          <w:szCs w:val="32"/>
          <w:highlight w:val="none"/>
          <w:lang w:val="en-US" w:eastAsia="zh-CN"/>
        </w:rPr>
      </w:pPr>
    </w:p>
    <w:p>
      <w:pPr>
        <w:rPr>
          <w:rFonts w:hint="eastAsia" w:ascii="仿宋_GB2312" w:hAnsi="仿宋" w:eastAsia="仿宋_GB2312"/>
          <w:color w:val="auto"/>
          <w:sz w:val="32"/>
          <w:szCs w:val="32"/>
          <w:highlight w:val="none"/>
          <w:lang w:val="en-US" w:eastAsia="zh-CN"/>
        </w:rPr>
      </w:pPr>
    </w:p>
    <w:p>
      <w:pPr>
        <w:rPr>
          <w:rFonts w:hint="eastAsia" w:ascii="仿宋_GB2312" w:hAnsi="仿宋" w:eastAsia="仿宋_GB2312"/>
          <w:color w:val="auto"/>
          <w:sz w:val="32"/>
          <w:szCs w:val="32"/>
          <w:highlight w:val="none"/>
          <w:lang w:val="en-US" w:eastAsia="zh-CN"/>
        </w:rPr>
      </w:pPr>
    </w:p>
    <w:p>
      <w:pPr>
        <w:rPr>
          <w:rFonts w:hint="eastAsia" w:ascii="仿宋_GB2312" w:hAnsi="仿宋" w:eastAsia="仿宋_GB2312"/>
          <w:color w:val="auto"/>
          <w:sz w:val="32"/>
          <w:szCs w:val="32"/>
          <w:highlight w:val="none"/>
          <w:lang w:val="en-US" w:eastAsia="zh-CN"/>
        </w:rPr>
      </w:pPr>
    </w:p>
    <w:p>
      <w:pPr>
        <w:rPr>
          <w:rFonts w:hint="eastAsia" w:ascii="仿宋_GB2312" w:hAnsi="仿宋" w:eastAsia="仿宋_GB2312"/>
          <w:color w:val="auto"/>
          <w:sz w:val="32"/>
          <w:szCs w:val="32"/>
          <w:highlight w:val="none"/>
          <w:lang w:val="en-US" w:eastAsia="zh-CN"/>
        </w:rPr>
      </w:pPr>
    </w:p>
    <w:p>
      <w:pPr>
        <w:rPr>
          <w:rFonts w:hint="eastAsia" w:ascii="仿宋_GB2312" w:hAnsi="仿宋" w:eastAsia="仿宋_GB2312"/>
          <w:color w:val="auto"/>
          <w:sz w:val="32"/>
          <w:szCs w:val="32"/>
          <w:highlight w:val="none"/>
          <w:lang w:val="en-US" w:eastAsia="zh-CN"/>
        </w:rPr>
        <w:sectPr>
          <w:pgSz w:w="16838" w:h="11906" w:orient="landscape"/>
          <w:pgMar w:top="720" w:right="720" w:bottom="720" w:left="720" w:header="851" w:footer="992" w:gutter="0"/>
          <w:cols w:space="720" w:num="1"/>
          <w:docGrid w:type="lines" w:linePitch="312" w:charSpace="0"/>
        </w:sectPr>
      </w:pPr>
    </w:p>
    <w:p>
      <w:pPr>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备注：答复时限是指，从客户提交的资料齐全完备后算起，N个工作日内给客户是否能够放贷的明确答复。上述业务办理时限以客户完整无误地提供所有材料且在民生银行拉萨分行权限内为前提，如有特殊情况，我行将另行通知。</w:t>
      </w:r>
    </w:p>
    <w:p>
      <w:pPr>
        <w:rPr>
          <w:rFonts w:hint="eastAsia" w:ascii="仿宋_GB2312" w:hAnsi="仿宋" w:eastAsia="仿宋_GB2312"/>
          <w:color w:val="auto"/>
          <w:sz w:val="32"/>
          <w:szCs w:val="32"/>
          <w:highlight w:val="none"/>
          <w:lang w:val="en-US" w:eastAsia="zh-CN"/>
        </w:rPr>
      </w:pPr>
    </w:p>
    <w:p>
      <w:pPr>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如因本地或总行相关政策调整，上述公示内容发生变动，请以我行最新公示内容为准。如您对上述公示内容有任何意见或建议，请随时联系我行服务热线95568。</w:t>
      </w:r>
    </w:p>
    <w:p>
      <w:pPr>
        <w:rPr>
          <w:rFonts w:ascii="仿宋_GB2312" w:hAnsi="仿宋" w:eastAsia="仿宋_GB2312"/>
          <w:color w:val="auto"/>
          <w:sz w:val="32"/>
          <w:szCs w:val="32"/>
          <w:highlight w:val="none"/>
        </w:rPr>
      </w:pPr>
    </w:p>
    <w:p>
      <w:pPr>
        <w:rPr>
          <w:rFonts w:ascii="仿宋_GB2312" w:hAnsi="仿宋" w:eastAsia="仿宋_GB2312"/>
          <w:color w:val="auto"/>
          <w:sz w:val="32"/>
          <w:szCs w:val="32"/>
          <w:highlight w:val="none"/>
        </w:rPr>
      </w:pPr>
    </w:p>
    <w:p>
      <w:pPr>
        <w:rPr>
          <w:rFonts w:ascii="仿宋_GB2312" w:hAnsi="仿宋" w:eastAsia="仿宋_GB2312"/>
          <w:color w:val="auto"/>
          <w:sz w:val="32"/>
          <w:szCs w:val="32"/>
          <w:highlight w:val="none"/>
        </w:rPr>
      </w:pPr>
    </w:p>
    <w:p>
      <w:pPr>
        <w:jc w:val="right"/>
        <w:rPr>
          <w:rFonts w:ascii="仿宋_GB2312" w:hAnsi="仿宋" w:eastAsia="仿宋_GB2312"/>
          <w:color w:val="auto"/>
          <w:sz w:val="32"/>
          <w:szCs w:val="32"/>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17753"/>
    <w:rsid w:val="000A743C"/>
    <w:rsid w:val="000E1524"/>
    <w:rsid w:val="00110E4D"/>
    <w:rsid w:val="00117753"/>
    <w:rsid w:val="0014117E"/>
    <w:rsid w:val="00157DBE"/>
    <w:rsid w:val="001C7B7A"/>
    <w:rsid w:val="00264D0E"/>
    <w:rsid w:val="00273497"/>
    <w:rsid w:val="002B752A"/>
    <w:rsid w:val="002C2020"/>
    <w:rsid w:val="003027BE"/>
    <w:rsid w:val="00332206"/>
    <w:rsid w:val="00340042"/>
    <w:rsid w:val="003924D6"/>
    <w:rsid w:val="003D3A63"/>
    <w:rsid w:val="00414803"/>
    <w:rsid w:val="004366E8"/>
    <w:rsid w:val="0045515C"/>
    <w:rsid w:val="004737F1"/>
    <w:rsid w:val="00480FC3"/>
    <w:rsid w:val="00483C44"/>
    <w:rsid w:val="004934D7"/>
    <w:rsid w:val="004D4B19"/>
    <w:rsid w:val="00507541"/>
    <w:rsid w:val="00555321"/>
    <w:rsid w:val="005807C8"/>
    <w:rsid w:val="00580C58"/>
    <w:rsid w:val="005B4708"/>
    <w:rsid w:val="00630999"/>
    <w:rsid w:val="00647FA1"/>
    <w:rsid w:val="00692375"/>
    <w:rsid w:val="006A75D6"/>
    <w:rsid w:val="006D7B38"/>
    <w:rsid w:val="006F4FAC"/>
    <w:rsid w:val="00777CE4"/>
    <w:rsid w:val="007D1408"/>
    <w:rsid w:val="007E2FB4"/>
    <w:rsid w:val="00880D9C"/>
    <w:rsid w:val="0091519D"/>
    <w:rsid w:val="00926785"/>
    <w:rsid w:val="00956C2D"/>
    <w:rsid w:val="0095783F"/>
    <w:rsid w:val="009D31F0"/>
    <w:rsid w:val="00A7734F"/>
    <w:rsid w:val="00AC5B3C"/>
    <w:rsid w:val="00AD1591"/>
    <w:rsid w:val="00B12771"/>
    <w:rsid w:val="00B34F3B"/>
    <w:rsid w:val="00B37E8F"/>
    <w:rsid w:val="00B65D51"/>
    <w:rsid w:val="00B71FD7"/>
    <w:rsid w:val="00B91BA1"/>
    <w:rsid w:val="00BC59F2"/>
    <w:rsid w:val="00BE7E9D"/>
    <w:rsid w:val="00C00DCE"/>
    <w:rsid w:val="00D3253D"/>
    <w:rsid w:val="00DA4AAA"/>
    <w:rsid w:val="00DB45A3"/>
    <w:rsid w:val="00DC2F72"/>
    <w:rsid w:val="00E43E37"/>
    <w:rsid w:val="00F1268B"/>
    <w:rsid w:val="00F4058A"/>
    <w:rsid w:val="00F4477A"/>
    <w:rsid w:val="00F722D6"/>
    <w:rsid w:val="00F8371D"/>
    <w:rsid w:val="00F972F3"/>
    <w:rsid w:val="00FD7807"/>
    <w:rsid w:val="0542688B"/>
    <w:rsid w:val="0B130144"/>
    <w:rsid w:val="0C8375F9"/>
    <w:rsid w:val="122A4F93"/>
    <w:rsid w:val="19CF44BA"/>
    <w:rsid w:val="1FD440D1"/>
    <w:rsid w:val="329E1A68"/>
    <w:rsid w:val="369209CC"/>
    <w:rsid w:val="36FB25FA"/>
    <w:rsid w:val="382034F4"/>
    <w:rsid w:val="3B943196"/>
    <w:rsid w:val="44EF62E3"/>
    <w:rsid w:val="614A0F08"/>
    <w:rsid w:val="667A758C"/>
    <w:rsid w:val="676E4126"/>
    <w:rsid w:val="69DB4BDE"/>
    <w:rsid w:val="6A06663C"/>
    <w:rsid w:val="6A5350B6"/>
    <w:rsid w:val="6BA02342"/>
    <w:rsid w:val="72C8711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qFormat/>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3">
    <w:name w:val="Balloon Text"/>
    <w:basedOn w:val="1"/>
    <w:link w:val="15"/>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39"/>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9">
    <w:name w:val="彩色列表1"/>
    <w:basedOn w:val="1"/>
    <w:qFormat/>
    <w:uiPriority w:val="0"/>
    <w:pPr>
      <w:ind w:firstLine="420" w:firstLineChars="200"/>
    </w:pPr>
    <w:rPr>
      <w:rFonts w:ascii="Times New Roman" w:hAnsi="Times New Roman" w:eastAsia="宋体" w:cs="Times New Roman"/>
      <w:szCs w:val="20"/>
    </w:rPr>
  </w:style>
  <w:style w:type="paragraph" w:customStyle="1" w:styleId="10">
    <w:name w:val="列出段落1"/>
    <w:basedOn w:val="1"/>
    <w:qFormat/>
    <w:uiPriority w:val="0"/>
    <w:pPr>
      <w:ind w:firstLine="420" w:firstLineChars="200"/>
    </w:pPr>
    <w:rPr>
      <w:rFonts w:ascii="Times New Roman" w:hAnsi="Times New Roman" w:eastAsia="宋体" w:cs="Times New Roman"/>
      <w:szCs w:val="20"/>
    </w:rPr>
  </w:style>
  <w:style w:type="paragraph" w:customStyle="1" w:styleId="11">
    <w:name w:val="列出段落2"/>
    <w:basedOn w:val="1"/>
    <w:unhideWhenUsed/>
    <w:qFormat/>
    <w:uiPriority w:val="99"/>
    <w:pPr>
      <w:ind w:firstLine="420" w:firstLineChars="200"/>
    </w:pPr>
  </w:style>
  <w:style w:type="paragraph" w:customStyle="1" w:styleId="12">
    <w:name w:val="p0"/>
    <w:basedOn w:val="1"/>
    <w:qFormat/>
    <w:uiPriority w:val="0"/>
    <w:pPr>
      <w:widowControl/>
    </w:pPr>
    <w:rPr>
      <w:rFonts w:ascii="Times New Roman" w:hAnsi="Times New Roman" w:eastAsia="宋体" w:cs="Times New Roman"/>
      <w:kern w:val="0"/>
      <w:szCs w:val="21"/>
    </w:rPr>
  </w:style>
  <w:style w:type="paragraph" w:customStyle="1" w:styleId="13">
    <w:name w:val="_Style 2"/>
    <w:basedOn w:val="1"/>
    <w:qFormat/>
    <w:uiPriority w:val="34"/>
    <w:pPr>
      <w:ind w:firstLine="420" w:firstLineChars="200"/>
    </w:pPr>
  </w:style>
  <w:style w:type="paragraph" w:customStyle="1" w:styleId="14">
    <w:name w:val="_Style 1"/>
    <w:basedOn w:val="1"/>
    <w:qFormat/>
    <w:uiPriority w:val="34"/>
    <w:pPr>
      <w:ind w:firstLine="420" w:firstLineChars="200"/>
    </w:pPr>
  </w:style>
  <w:style w:type="character" w:customStyle="1" w:styleId="15">
    <w:name w:val="批注框文本 Char"/>
    <w:basedOn w:val="6"/>
    <w:link w:val="3"/>
    <w:semiHidden/>
    <w:qFormat/>
    <w:uiPriority w:val="99"/>
    <w:rPr>
      <w:sz w:val="18"/>
      <w:szCs w:val="18"/>
    </w:rPr>
  </w:style>
  <w:style w:type="character" w:customStyle="1" w:styleId="16">
    <w:name w:val="页眉 Char"/>
    <w:basedOn w:val="6"/>
    <w:link w:val="5"/>
    <w:qFormat/>
    <w:uiPriority w:val="99"/>
    <w:rPr>
      <w:sz w:val="18"/>
      <w:szCs w:val="18"/>
    </w:rPr>
  </w:style>
  <w:style w:type="character" w:customStyle="1" w:styleId="17">
    <w:name w:val="页脚 Char"/>
    <w:basedOn w:val="6"/>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229</Words>
  <Characters>1307</Characters>
  <Lines>10</Lines>
  <Paragraphs>3</Paragraphs>
  <ScaleCrop>false</ScaleCrop>
  <LinksUpToDate>false</LinksUpToDate>
  <CharactersWithSpaces>0</CharactersWithSpaces>
  <Application>WPS Office 专业版_9.1.0.4795_{F1E327BC-269C-435d-A152-05C5408002CA}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2019-06-24T09:50:00Z</dcterms:created>
  <dc:creator>CMBCAdmin</dc:creator>
  <cp:lastModifiedBy>陈孟星</cp:lastModifiedBy>
  <cp:lastPrinted>2019-05-14T08:11:00Z</cp:lastPrinted>
  <dcterms:modified xsi:type="dcterms:W3CDTF">2019-10-11T02:39:32Z</dcterms:modified>
  <dc:title>民生银行拉萨分行关于金融服务工作的公示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2052-9.1.0.4795</vt:lpwstr>
  </property>
</Properties>
</file>