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9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sz w:val="21"/>
          <w:szCs w:val="21"/>
        </w:rPr>
        <w:t>2024年7月29日-8月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9"/>
        <w:rPr>
          <w:rFonts w:hint="eastAsia" w:ascii="黑体" w:hAnsi="黑体" w:eastAsia="黑体"/>
          <w:sz w:val="21"/>
          <w:szCs w:val="21"/>
        </w:rPr>
      </w:pPr>
    </w:p>
    <w:tbl>
      <w:tblPr>
        <w:tblStyle w:val="7"/>
        <w:tblpPr w:leftFromText="180" w:rightFromText="180" w:vertAnchor="text" w:tblpXSpec="left" w:tblpY="1"/>
        <w:tblOverlap w:val="never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6"/>
        <w:gridCol w:w="2076"/>
        <w:gridCol w:w="2451"/>
        <w:gridCol w:w="1058"/>
        <w:gridCol w:w="936"/>
        <w:gridCol w:w="218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措勤县自然资源局（措勤县林业和草原局）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sz w:val="16"/>
                <w:szCs w:val="16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J7816000024102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札达县托林镇波林村多香组股份经济合作社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J7812000042501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阿里地区投资促进局零余额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Z7810000077801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阿里地区机关事务管理局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J7810000505201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中国科学院国家天文台阿里观测基地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Z7810000047701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08-01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改则县物玛乡抢古村委员会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J7815000012702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08-02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</w:rPr>
            </w:pPr>
            <w:r>
              <w:rPr>
                <w:rFonts w:hint="default" w:ascii="Arial" w:hAnsi="Arial" w:cs="Arial" w:eastAsiaTheme="minorEastAsia"/>
                <w:sz w:val="16"/>
                <w:szCs w:val="16"/>
              </w:rPr>
              <w:t>2024-</w:t>
            </w:r>
            <w:r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  <w:t>08-02</w:t>
            </w:r>
          </w:p>
        </w:tc>
      </w:tr>
    </w:tbl>
    <w:p/>
    <w:sectPr>
      <w:pgSz w:w="16838" w:h="11906" w:orient="landscape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0420B3"/>
    <w:rsid w:val="083E508B"/>
    <w:rsid w:val="0AD236A6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A735F14"/>
    <w:rsid w:val="4B585CFB"/>
    <w:rsid w:val="4BED1300"/>
    <w:rsid w:val="4CCD6DE2"/>
    <w:rsid w:val="4D0A1B76"/>
    <w:rsid w:val="4E007E8F"/>
    <w:rsid w:val="4F945BB5"/>
    <w:rsid w:val="50FD222C"/>
    <w:rsid w:val="51775322"/>
    <w:rsid w:val="519434E5"/>
    <w:rsid w:val="51FC2F24"/>
    <w:rsid w:val="53875541"/>
    <w:rsid w:val="53DF2717"/>
    <w:rsid w:val="55663F93"/>
    <w:rsid w:val="55E26849"/>
    <w:rsid w:val="56363829"/>
    <w:rsid w:val="569707ED"/>
    <w:rsid w:val="56A56475"/>
    <w:rsid w:val="56B71F7A"/>
    <w:rsid w:val="56D530F6"/>
    <w:rsid w:val="590226FA"/>
    <w:rsid w:val="5CAB4D0A"/>
    <w:rsid w:val="5D315D75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2A6116"/>
    <w:rsid w:val="6CC237E3"/>
    <w:rsid w:val="6D0E2EA3"/>
    <w:rsid w:val="6ED571B9"/>
    <w:rsid w:val="70C029A2"/>
    <w:rsid w:val="70D13CB3"/>
    <w:rsid w:val="712D7665"/>
    <w:rsid w:val="7175025B"/>
    <w:rsid w:val="721A7EAF"/>
    <w:rsid w:val="7291729B"/>
    <w:rsid w:val="72CC79E0"/>
    <w:rsid w:val="762B5C88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15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2024-08-07T07:48:20Z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